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Accesso civico generalizzato concernente dati e documenti ulteriori a quelli soggetti a pubblicazione obbligatoria ai sensi del D.Lgs. 33/2013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nell'accesso civico "generalizzato" concernente dati e documenti ulteriori a quelli soggetti a pubblicazione obbligatoria ai sensi del D.Lgs.33/2013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D.Lgs. n. 82/2005 - L. 190/2012 - DPR n. 62/2013 - Statuto - Regolamento sul procedimento amministrativo - L. 241/1990 - D.P.R. 184/2006 - D.Lgs. 33/2013 - Linee guida ANAC - Regolamento sull'esercizio del diritto d'accesso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24092E" w:rsidRDefault="005B675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24092E" w:rsidRDefault="005B675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24092E" w:rsidRDefault="005B675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24092E" w:rsidRDefault="005B675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24092E" w:rsidRDefault="005B675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5B675A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24092E" w:rsidRDefault="005B675A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24092E" w:rsidRDefault="005B675A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24092E" w:rsidRDefault="005B675A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24092E" w:rsidRDefault="005B675A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24092E" w:rsidRDefault="005B675A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al TAR entro 30 giorni dal diniego o dal non accoglimento dell'istanza di riesame al RPCT oppure ricorso al Garante della Regione, laddove istituito, ai sensi degli art. 116 D.lgs 104/2010 e art. 5 del D.Lgs 33/2013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5B675A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5B675A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092E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B675A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2026-06-13T09:28:00Z</dcterms:modified>
</cp:coreProperties>
</file>